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line="600" w:lineRule="exact"/>
        <w:textAlignment w:val="auto"/>
        <w:outlineLvl w:val="0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-1：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eastAsia="zh-CN"/>
        </w:rPr>
        <w:t>种子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企业评价指标</w:t>
      </w:r>
      <w:bookmarkStart w:id="0" w:name="_GoBack"/>
      <w:bookmarkEnd w:id="0"/>
    </w:p>
    <w:tbl>
      <w:tblPr>
        <w:tblStyle w:val="7"/>
        <w:tblW w:w="850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2"/>
        <w:gridCol w:w="561"/>
        <w:gridCol w:w="612"/>
        <w:gridCol w:w="2499"/>
        <w:gridCol w:w="427"/>
        <w:gridCol w:w="477"/>
        <w:gridCol w:w="587"/>
        <w:gridCol w:w="600"/>
        <w:gridCol w:w="67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40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企业最新一轮融资估值不低于500万元。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30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500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2000</w:t>
            </w:r>
          </w:p>
        </w:tc>
        <w:tc>
          <w:tcPr>
            <w:tcW w:w="15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最高项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注册资本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企业实缴注册资本金不低于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500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万元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500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000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技术指标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认定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(医药企业拥有器械或药品品类注册证、集成电路企业布图设计等)数量。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取三项中得分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最高项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lang w:eastAsia="zh-CN"/>
              </w:rPr>
              <w:t>申请中的知识产权数量。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5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人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2019年、2020年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荣誉称号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获得顺义区、市级及以上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创业大赛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荣誉或奖项数量。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加分项</w:t>
            </w:r>
          </w:p>
        </w:tc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配套能力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2019年、2020年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为大企业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重点工程项目提供配套产品（服务）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签订合作协议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企业信用</w:t>
            </w:r>
          </w:p>
        </w:tc>
        <w:tc>
          <w:tcPr>
            <w:tcW w:w="2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2019年或2020年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入选信用中国（北京）红名单。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6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E134A"/>
    <w:rsid w:val="04120943"/>
    <w:rsid w:val="18955793"/>
    <w:rsid w:val="33BE3F1D"/>
    <w:rsid w:val="366E134A"/>
    <w:rsid w:val="3D590666"/>
    <w:rsid w:val="629A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2021-05-29T12:24:00Z</dcterms:created>
  <dc:creator>小福</dc:creator>
  <cp:lastModifiedBy>zxqy</cp:lastModifiedBy>
  <cp:lastPrinted>2021-07-08T07:46:17Z</cp:lastPrinted>
  <dcterms:modified xsi:type="dcterms:W3CDTF">2021-07-08T07:46:20Z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DD47C896EAB748659321B73ABAC4A181</vt:lpwstr>
  </property>
</Properties>
</file>