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276" w:lineRule="auto"/>
        <w:ind w:firstLine="0" w:firstLineChars="0"/>
        <w:rPr>
          <w:rFonts w:ascii="微软雅黑" w:hAnsi="微软雅黑" w:eastAsia="微软雅黑"/>
          <w:b/>
          <w:sz w:val="4"/>
          <w:szCs w:val="24"/>
        </w:rPr>
      </w:pPr>
      <w:bookmarkStart w:id="0" w:name="_Toc8177"/>
    </w:p>
    <w:p>
      <w:pPr>
        <w:topLinePunct/>
        <w:spacing w:line="276" w:lineRule="auto"/>
        <w:ind w:firstLine="0" w:firstLineChars="0"/>
        <w:rPr>
          <w:rFonts w:ascii="微软雅黑" w:hAnsi="微软雅黑" w:eastAsia="微软雅黑"/>
          <w:b/>
          <w:sz w:val="4"/>
          <w:szCs w:val="24"/>
        </w:rPr>
      </w:pPr>
    </w:p>
    <w:p>
      <w:pPr>
        <w:topLinePunct/>
        <w:spacing w:line="276" w:lineRule="auto"/>
        <w:ind w:firstLine="0" w:firstLineChars="0"/>
        <w:rPr>
          <w:rFonts w:ascii="微软雅黑" w:hAnsi="微软雅黑" w:eastAsia="微软雅黑"/>
          <w:b/>
          <w:sz w:val="4"/>
          <w:szCs w:val="24"/>
        </w:rPr>
      </w:pPr>
    </w:p>
    <w:p>
      <w:pPr>
        <w:topLinePunct/>
        <w:spacing w:line="276" w:lineRule="auto"/>
        <w:ind w:firstLine="0" w:firstLineChars="0"/>
        <w:rPr>
          <w:rFonts w:ascii="微软雅黑" w:hAnsi="微软雅黑" w:eastAsia="微软雅黑"/>
          <w:b/>
          <w:sz w:val="4"/>
          <w:szCs w:val="24"/>
        </w:rPr>
      </w:pPr>
    </w:p>
    <w:p>
      <w:pPr>
        <w:topLinePunct/>
        <w:spacing w:line="276" w:lineRule="auto"/>
        <w:ind w:firstLine="0" w:firstLineChars="0"/>
        <w:rPr>
          <w:rFonts w:ascii="微软雅黑" w:hAnsi="微软雅黑" w:eastAsia="微软雅黑"/>
          <w:b/>
          <w:sz w:val="4"/>
          <w:szCs w:val="24"/>
        </w:rPr>
      </w:pPr>
    </w:p>
    <w:p>
      <w:pPr>
        <w:topLinePunct/>
        <w:spacing w:line="276" w:lineRule="auto"/>
        <w:ind w:firstLine="0" w:firstLineChars="0"/>
        <w:jc w:val="center"/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高新</w:t>
      </w:r>
      <w:r>
        <w:rPr>
          <w:rFonts w:ascii="微软雅黑" w:hAnsi="微软雅黑" w:eastAsia="微软雅黑"/>
          <w:b/>
          <w:sz w:val="28"/>
          <w:szCs w:val="24"/>
        </w:rPr>
        <w:t>技术企</w:t>
      </w:r>
      <w:r>
        <w:rPr>
          <w:rFonts w:hint="eastAsia" w:ascii="微软雅黑" w:hAnsi="微软雅黑" w:eastAsia="微软雅黑"/>
          <w:b/>
          <w:sz w:val="28"/>
          <w:szCs w:val="24"/>
        </w:rPr>
        <w:t>业创新能力</w:t>
      </w:r>
      <w:r>
        <w:rPr>
          <w:rFonts w:ascii="微软雅黑" w:hAnsi="微软雅黑" w:eastAsia="微软雅黑"/>
          <w:b/>
          <w:sz w:val="28"/>
          <w:szCs w:val="24"/>
        </w:rPr>
        <w:t>测评表</w:t>
      </w:r>
      <w:bookmarkStart w:id="1" w:name="_GoBack"/>
      <w:bookmarkEnd w:id="1"/>
    </w:p>
    <w:bookmarkEnd w:id="0"/>
    <w:p>
      <w:pPr>
        <w:topLinePunct/>
        <w:spacing w:line="276" w:lineRule="auto"/>
        <w:ind w:firstLine="420"/>
        <w:rPr>
          <w:rFonts w:ascii="微软雅黑" w:hAnsi="微软雅黑" w:eastAsia="微软雅黑"/>
          <w:sz w:val="21"/>
          <w:szCs w:val="24"/>
        </w:rPr>
      </w:pPr>
      <w:r>
        <w:rPr>
          <w:rFonts w:hint="eastAsia" w:ascii="微软雅黑" w:hAnsi="微软雅黑" w:eastAsia="微软雅黑"/>
          <w:sz w:val="21"/>
          <w:szCs w:val="24"/>
        </w:rPr>
        <w:t>【满分为100分，综合得分达到70分以上</w:t>
      </w:r>
      <w:r>
        <w:rPr>
          <w:rFonts w:ascii="微软雅黑" w:hAnsi="微软雅黑" w:eastAsia="微软雅黑"/>
          <w:sz w:val="21"/>
          <w:szCs w:val="24"/>
        </w:rPr>
        <w:t>(</w:t>
      </w:r>
      <w:r>
        <w:rPr>
          <w:rFonts w:hint="eastAsia" w:ascii="微软雅黑" w:hAnsi="微软雅黑" w:eastAsia="微软雅黑"/>
          <w:sz w:val="21"/>
          <w:szCs w:val="24"/>
        </w:rPr>
        <w:t>不含70分)为</w:t>
      </w:r>
      <w:r>
        <w:rPr>
          <w:rFonts w:hint="eastAsia" w:ascii="微软雅黑" w:hAnsi="微软雅黑" w:eastAsia="微软雅黑"/>
          <w:sz w:val="21"/>
          <w:szCs w:val="24"/>
          <w:lang w:eastAsia="zh-CN"/>
        </w:rPr>
        <w:t>降低认定风险</w:t>
      </w:r>
      <w:r>
        <w:rPr>
          <w:rFonts w:hint="eastAsia" w:ascii="微软雅黑" w:hAnsi="微软雅黑" w:eastAsia="微软雅黑"/>
          <w:sz w:val="21"/>
          <w:szCs w:val="24"/>
        </w:rPr>
        <w:t>，</w:t>
      </w:r>
      <w:r>
        <w:rPr>
          <w:rFonts w:ascii="微软雅黑" w:hAnsi="微软雅黑" w:eastAsia="微软雅黑"/>
          <w:sz w:val="21"/>
          <w:szCs w:val="24"/>
        </w:rPr>
        <w:t>请从严计算</w:t>
      </w:r>
      <w:r>
        <w:rPr>
          <w:rFonts w:hint="eastAsia" w:ascii="微软雅黑" w:hAnsi="微软雅黑" w:eastAsia="微软雅黑"/>
          <w:sz w:val="21"/>
          <w:szCs w:val="24"/>
        </w:rPr>
        <w:t>】</w:t>
      </w:r>
    </w:p>
    <w:p>
      <w:pPr>
        <w:topLinePunct/>
        <w:spacing w:line="276" w:lineRule="auto"/>
        <w:ind w:firstLine="0" w:firstLineChars="0"/>
        <w:jc w:val="center"/>
        <w:rPr>
          <w:rFonts w:ascii="微软雅黑" w:hAnsi="微软雅黑" w:eastAsia="微软雅黑"/>
          <w:b/>
          <w:sz w:val="4"/>
          <w:szCs w:val="24"/>
        </w:rPr>
      </w:pPr>
    </w:p>
    <w:p>
      <w:pPr>
        <w:topLinePunct/>
        <w:spacing w:line="276" w:lineRule="auto"/>
        <w:ind w:firstLine="0" w:firstLineChars="0"/>
        <w:rPr>
          <w:rFonts w:ascii="微软雅黑" w:hAnsi="微软雅黑" w:eastAsia="微软雅黑"/>
          <w:b/>
          <w:sz w:val="4"/>
          <w:szCs w:val="24"/>
        </w:rPr>
      </w:pPr>
    </w:p>
    <w:tbl>
      <w:tblPr>
        <w:tblStyle w:val="5"/>
        <w:tblW w:w="10627" w:type="dxa"/>
        <w:jc w:val="center"/>
        <w:tblCellSpacing w:w="20" w:type="dxa"/>
        <w:tblInd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829"/>
        <w:gridCol w:w="901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</w:tblPrEx>
        <w:trPr>
          <w:trHeight w:val="692" w:hRule="atLeast"/>
          <w:tblCellSpacing w:w="20" w:type="dxa"/>
          <w:jc w:val="center"/>
        </w:trPr>
        <w:tc>
          <w:tcPr>
            <w:tcW w:w="83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napToGrid w:val="0"/>
                <w:spacing w:val="2"/>
                <w:sz w:val="24"/>
                <w:szCs w:val="24"/>
              </w:rPr>
              <w:t>序号</w:t>
            </w:r>
          </w:p>
        </w:tc>
        <w:tc>
          <w:tcPr>
            <w:tcW w:w="878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napToGrid w:val="0"/>
                <w:spacing w:val="2"/>
                <w:sz w:val="24"/>
                <w:szCs w:val="24"/>
              </w:rPr>
              <w:t>评价指标及</w:t>
            </w:r>
            <w:r>
              <w:rPr>
                <w:rFonts w:ascii="微软雅黑" w:hAnsi="微软雅黑" w:eastAsia="微软雅黑"/>
                <w:b/>
                <w:bCs/>
                <w:snapToGrid w:val="0"/>
                <w:spacing w:val="2"/>
                <w:sz w:val="24"/>
                <w:szCs w:val="24"/>
              </w:rPr>
              <w:t>评分标准</w:t>
            </w:r>
          </w:p>
        </w:tc>
        <w:tc>
          <w:tcPr>
            <w:tcW w:w="841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bCs/>
                <w:snapToGrid w:val="0"/>
                <w:spacing w:val="2"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20" w:type="dxa"/>
          <w:jc w:val="center"/>
        </w:trPr>
        <w:tc>
          <w:tcPr>
            <w:tcW w:w="10547" w:type="dxa"/>
            <w:gridSpan w:val="3"/>
            <w:shd w:val="clear" w:color="auto" w:fill="C0000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一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知识产权指标(≤30分，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含加分项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20" w:type="dxa"/>
          <w:jc w:val="center"/>
        </w:trPr>
        <w:tc>
          <w:tcPr>
            <w:tcW w:w="8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技术的先进程度(≤8分)</w:t>
            </w:r>
          </w:p>
          <w:p>
            <w:pPr>
              <w:spacing w:line="240" w:lineRule="auto"/>
              <w:ind w:firstLine="244" w:firstLineChars="100"/>
              <w:jc w:val="left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A.高(7-8分) 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B.较高(5-6分)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C.一般(3-4分)</w:t>
            </w:r>
          </w:p>
          <w:p>
            <w:pPr>
              <w:spacing w:line="240" w:lineRule="auto"/>
              <w:ind w:firstLine="244" w:firstLineChars="100"/>
              <w:jc w:val="left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D.较低(1-2分)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E.无(0分)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20" w:type="dxa"/>
          <w:jc w:val="center"/>
        </w:trPr>
        <w:tc>
          <w:tcPr>
            <w:tcW w:w="8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对主要产品(服务）在技术上发挥核心支持作用(≤8分)</w:t>
            </w:r>
          </w:p>
          <w:p>
            <w:pPr>
              <w:spacing w:line="240" w:lineRule="auto"/>
              <w:ind w:firstLine="244" w:firstLineChars="100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A.强(7-8分)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B.较强(5-6分)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C.一般(3-4分) </w:t>
            </w:r>
          </w:p>
          <w:p>
            <w:pPr>
              <w:spacing w:line="240" w:lineRule="auto"/>
              <w:ind w:firstLine="244" w:firstLineChars="100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D.较弱(1-2分)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E. 无(0分)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20" w:type="dxa"/>
          <w:jc w:val="center"/>
        </w:trPr>
        <w:tc>
          <w:tcPr>
            <w:tcW w:w="8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知识产权数量(≤8分)</w:t>
            </w:r>
          </w:p>
          <w:p>
            <w:pPr>
              <w:spacing w:line="240" w:lineRule="auto"/>
              <w:ind w:firstLine="244" w:firstLineChars="100"/>
              <w:jc w:val="left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A. ≥1项Ⅰ类知识产权  (7-8分)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  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B. ≥5项Ⅱ类知识产权  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(5-6分)</w:t>
            </w:r>
          </w:p>
          <w:p>
            <w:pPr>
              <w:spacing w:line="240" w:lineRule="auto"/>
              <w:ind w:firstLine="244" w:firstLineChars="100"/>
              <w:jc w:val="left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C. 3～4项Ⅱ类知识产权 (3-4分) 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D. 1～2项Ⅱ类知识产权 (1-2分)</w:t>
            </w:r>
          </w:p>
          <w:p>
            <w:pPr>
              <w:spacing w:line="240" w:lineRule="auto"/>
              <w:ind w:firstLine="244" w:firstLineChars="100"/>
              <w:jc w:val="left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E. 0项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(0分)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20" w:type="dxa"/>
          <w:jc w:val="center"/>
        </w:trPr>
        <w:tc>
          <w:tcPr>
            <w:tcW w:w="8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知识产权获得方式(≤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>6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分)</w:t>
            </w:r>
          </w:p>
          <w:p>
            <w:pPr>
              <w:spacing w:line="240" w:lineRule="auto"/>
              <w:ind w:firstLine="244" w:firstLineChars="100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A. 有自主研发            (1-6分)</w:t>
            </w:r>
          </w:p>
          <w:p>
            <w:pPr>
              <w:spacing w:line="240" w:lineRule="auto"/>
              <w:ind w:firstLine="244" w:firstLineChars="100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B. 仅有受让、受赠和并购等(1-3分)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CellSpacing w:w="20" w:type="dxa"/>
          <w:jc w:val="center"/>
        </w:trPr>
        <w:tc>
          <w:tcPr>
            <w:tcW w:w="8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5</w:t>
            </w:r>
          </w:p>
        </w:tc>
        <w:tc>
          <w:tcPr>
            <w:tcW w:w="878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企业参与编制国家标准、行业标准、检测方法、技术规范的情况(加分项≤2分）</w:t>
            </w:r>
          </w:p>
          <w:p>
            <w:pPr>
              <w:spacing w:line="240" w:lineRule="auto"/>
              <w:ind w:firstLine="244" w:firstLineChars="100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A. 是 (1-2分)</w:t>
            </w:r>
          </w:p>
          <w:p>
            <w:pPr>
              <w:spacing w:line="240" w:lineRule="auto"/>
              <w:ind w:firstLine="244" w:firstLineChars="100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B. 否 (0分）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tblCellSpacing w:w="20" w:type="dxa"/>
          <w:jc w:val="center"/>
        </w:trPr>
        <w:tc>
          <w:tcPr>
            <w:tcW w:w="83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说明</w:t>
            </w:r>
          </w:p>
        </w:tc>
        <w:tc>
          <w:tcPr>
            <w:tcW w:w="9670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rPr>
                <w:rFonts w:ascii="微软雅黑" w:hAnsi="微软雅黑" w:eastAsia="微软雅黑"/>
                <w:snapToGrid w:val="0"/>
                <w:spacing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Ⅰ类：发明专利(含国防专利)、植物新品种、国家级农作物品种、国家新药、国家一级中药保护品种、集成电路布图设计专有权等；Ⅱ类：实用新型、外观设计、软件著作权等(不含商标）。</w:t>
            </w:r>
          </w:p>
        </w:tc>
      </w:tr>
    </w:tbl>
    <w:p>
      <w:pPr>
        <w:spacing w:line="240" w:lineRule="auto"/>
        <w:ind w:firstLine="480"/>
        <w:rPr>
          <w:rFonts w:ascii="微软雅黑" w:hAnsi="微软雅黑" w:eastAsia="微软雅黑"/>
          <w:sz w:val="24"/>
          <w:szCs w:val="24"/>
        </w:rPr>
      </w:pPr>
    </w:p>
    <w:tbl>
      <w:tblPr>
        <w:tblStyle w:val="5"/>
        <w:tblW w:w="10627" w:type="dxa"/>
        <w:jc w:val="center"/>
        <w:tblCellSpacing w:w="20" w:type="dxa"/>
        <w:tblInd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829"/>
        <w:gridCol w:w="901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20" w:type="dxa"/>
          <w:jc w:val="center"/>
        </w:trPr>
        <w:tc>
          <w:tcPr>
            <w:tcW w:w="10547" w:type="dxa"/>
            <w:gridSpan w:val="3"/>
            <w:shd w:val="clear" w:color="auto" w:fill="C0000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二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科技成果转化能力(≤30分）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CellSpacing w:w="20" w:type="dxa"/>
          <w:jc w:val="center"/>
        </w:trPr>
        <w:tc>
          <w:tcPr>
            <w:tcW w:w="8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>
            <w:pPr>
              <w:topLinePunct/>
              <w:spacing w:line="240" w:lineRule="auto"/>
              <w:ind w:firstLine="0" w:firstLineChars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科技成果，转化为产品、服务、工艺、样品、样机、</w:t>
            </w:r>
            <w:r>
              <w:rPr>
                <w:rFonts w:ascii="微软雅黑" w:hAnsi="微软雅黑" w:eastAsia="微软雅黑"/>
                <w:sz w:val="24"/>
                <w:szCs w:val="24"/>
              </w:rPr>
              <w:t>作价转让</w:t>
            </w:r>
            <w:r>
              <w:rPr>
                <w:rFonts w:hint="eastAsia" w:ascii="微软雅黑" w:hAnsi="微软雅黑" w:eastAsia="微软雅黑"/>
                <w:sz w:val="24"/>
                <w:szCs w:val="24"/>
              </w:rPr>
              <w:t>等，根据企业科技成果转化总体情况和近3年年平均数进行综合评价：</w:t>
            </w:r>
          </w:p>
          <w:p>
            <w:pPr>
              <w:spacing w:line="240" w:lineRule="auto"/>
              <w:ind w:firstLine="244" w:firstLineChars="100"/>
              <w:jc w:val="left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A. 转化能力强 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≥5项 (25-30分)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 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B. 转化能力较强 ≥4项 (19-24分)</w:t>
            </w:r>
          </w:p>
          <w:p>
            <w:pPr>
              <w:spacing w:line="240" w:lineRule="auto"/>
              <w:ind w:firstLine="244" w:firstLineChars="100"/>
              <w:jc w:val="left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C. 转化能力一般 ≥3项 (13-18分)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D. 转化能力较弱 ≥2项 (7-12分)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E. 转化能力弱 ≥1项 (1-6分)</w:t>
            </w:r>
            <w:r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   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 xml:space="preserve">   F. 转化能力无  0项 (0分)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480"/>
        <w:rPr>
          <w:rFonts w:ascii="微软雅黑" w:hAnsi="微软雅黑" w:eastAsia="微软雅黑"/>
          <w:sz w:val="24"/>
          <w:szCs w:val="24"/>
        </w:rPr>
      </w:pPr>
    </w:p>
    <w:p>
      <w:pPr>
        <w:spacing w:line="240" w:lineRule="auto"/>
        <w:ind w:firstLine="480"/>
        <w:rPr>
          <w:rFonts w:ascii="微软雅黑" w:hAnsi="微软雅黑" w:eastAsia="微软雅黑"/>
          <w:sz w:val="24"/>
          <w:szCs w:val="24"/>
        </w:rPr>
      </w:pPr>
    </w:p>
    <w:p>
      <w:pPr>
        <w:spacing w:line="240" w:lineRule="auto"/>
        <w:ind w:firstLine="480"/>
        <w:rPr>
          <w:rFonts w:ascii="微软雅黑" w:hAnsi="微软雅黑" w:eastAsia="微软雅黑"/>
          <w:sz w:val="24"/>
          <w:szCs w:val="24"/>
        </w:rPr>
      </w:pPr>
    </w:p>
    <w:tbl>
      <w:tblPr>
        <w:tblStyle w:val="5"/>
        <w:tblW w:w="10627" w:type="dxa"/>
        <w:jc w:val="center"/>
        <w:tblCellSpacing w:w="20" w:type="dxa"/>
        <w:tblInd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829"/>
        <w:gridCol w:w="901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20" w:type="dxa"/>
          <w:jc w:val="center"/>
        </w:trPr>
        <w:tc>
          <w:tcPr>
            <w:tcW w:w="10547" w:type="dxa"/>
            <w:gridSpan w:val="3"/>
            <w:shd w:val="clear" w:color="auto" w:fill="C0000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三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研究开发组织管理水平(≤20分）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CellSpacing w:w="20" w:type="dxa"/>
          <w:jc w:val="center"/>
        </w:trPr>
        <w:tc>
          <w:tcPr>
            <w:tcW w:w="8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>
            <w:pPr>
              <w:topLinePunct/>
              <w:spacing w:line="240" w:lineRule="auto"/>
              <w:ind w:firstLine="0" w:firstLineChars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制定了企业研发的组织管理制度，建立了研发投入核算体系，编制了研发费用辅助账(≤6分)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CellSpacing w:w="20" w:type="dxa"/>
          <w:jc w:val="center"/>
        </w:trPr>
        <w:tc>
          <w:tcPr>
            <w:tcW w:w="8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设立了内部科研开发机构并具备相应的科研条件，与国内外研发机构开展产学研合作(≤6分)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</w:tblPrEx>
        <w:trPr>
          <w:trHeight w:val="1020" w:hRule="atLeast"/>
          <w:tblCellSpacing w:w="20" w:type="dxa"/>
          <w:jc w:val="center"/>
        </w:trPr>
        <w:tc>
          <w:tcPr>
            <w:tcW w:w="8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3</w:t>
            </w:r>
          </w:p>
        </w:tc>
        <w:tc>
          <w:tcPr>
            <w:tcW w:w="878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建立了科技成果转化的组织实施与激励奖励制度，建立开放式的创新创业平台(≤4分)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</w:tblPrEx>
        <w:trPr>
          <w:trHeight w:val="1020" w:hRule="atLeast"/>
          <w:tblCellSpacing w:w="20" w:type="dxa"/>
          <w:jc w:val="center"/>
        </w:trPr>
        <w:tc>
          <w:tcPr>
            <w:tcW w:w="8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4</w:t>
            </w:r>
          </w:p>
        </w:tc>
        <w:tc>
          <w:tcPr>
            <w:tcW w:w="8789" w:type="dxa"/>
            <w:vAlign w:val="center"/>
          </w:tcPr>
          <w:p>
            <w:pPr>
              <w:topLinePunct/>
              <w:spacing w:line="240" w:lineRule="auto"/>
              <w:ind w:firstLine="0" w:firstLineChars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建立了科技人员的培养进修、职工技能培训、优秀人才引进，以及人才绩效评价奖励制度(≤4分)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</w:p>
        </w:tc>
      </w:tr>
    </w:tbl>
    <w:p>
      <w:pPr>
        <w:spacing w:line="240" w:lineRule="auto"/>
        <w:ind w:firstLine="480"/>
        <w:rPr>
          <w:rFonts w:ascii="微软雅黑" w:hAnsi="微软雅黑" w:eastAsia="微软雅黑"/>
          <w:sz w:val="24"/>
          <w:szCs w:val="24"/>
        </w:rPr>
      </w:pPr>
    </w:p>
    <w:p>
      <w:pPr>
        <w:spacing w:line="240" w:lineRule="auto"/>
        <w:ind w:firstLine="480"/>
        <w:rPr>
          <w:rFonts w:ascii="微软雅黑" w:hAnsi="微软雅黑" w:eastAsia="微软雅黑"/>
          <w:sz w:val="24"/>
          <w:szCs w:val="24"/>
        </w:rPr>
      </w:pPr>
    </w:p>
    <w:p>
      <w:pPr>
        <w:spacing w:line="240" w:lineRule="auto"/>
        <w:ind w:firstLine="480"/>
        <w:rPr>
          <w:rFonts w:hint="eastAsia" w:ascii="微软雅黑" w:hAnsi="微软雅黑" w:eastAsia="微软雅黑"/>
          <w:sz w:val="24"/>
          <w:szCs w:val="24"/>
        </w:rPr>
      </w:pPr>
    </w:p>
    <w:tbl>
      <w:tblPr>
        <w:tblStyle w:val="5"/>
        <w:tblW w:w="10627" w:type="dxa"/>
        <w:jc w:val="center"/>
        <w:tblCellSpacing w:w="20" w:type="dxa"/>
        <w:tblInd w:w="0" w:type="dxa"/>
        <w:tblBorders>
          <w:top w:val="inset" w:color="auto" w:sz="6" w:space="0"/>
          <w:left w:val="inset" w:color="auto" w:sz="6" w:space="0"/>
          <w:bottom w:val="inset" w:color="auto" w:sz="6" w:space="0"/>
          <w:right w:val="inset" w:color="auto" w:sz="6" w:space="0"/>
          <w:insideH w:val="inset" w:color="auto" w:sz="6" w:space="0"/>
          <w:insideV w:val="in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829"/>
        <w:gridCol w:w="901"/>
      </w:tblGrid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CellSpacing w:w="20" w:type="dxa"/>
          <w:jc w:val="center"/>
        </w:trPr>
        <w:tc>
          <w:tcPr>
            <w:tcW w:w="10547" w:type="dxa"/>
            <w:gridSpan w:val="3"/>
            <w:shd w:val="clear" w:color="auto" w:fill="C0000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b/>
                <w:bCs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四</w:t>
            </w:r>
            <w:r>
              <w:rPr>
                <w:rFonts w:ascii="微软雅黑" w:hAnsi="微软雅黑" w:eastAsia="微软雅黑"/>
                <w:b/>
                <w:sz w:val="24"/>
                <w:szCs w:val="24"/>
              </w:rPr>
              <w:t>、</w:t>
            </w: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企业成长性指标(≤20分）</w:t>
            </w: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CellSpacing w:w="20" w:type="dxa"/>
          <w:jc w:val="center"/>
        </w:trPr>
        <w:tc>
          <w:tcPr>
            <w:tcW w:w="8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1</w:t>
            </w:r>
          </w:p>
        </w:tc>
        <w:tc>
          <w:tcPr>
            <w:tcW w:w="8789" w:type="dxa"/>
            <w:vAlign w:val="center"/>
          </w:tcPr>
          <w:p>
            <w:pPr>
              <w:topLinePunct/>
              <w:spacing w:line="240" w:lineRule="auto"/>
              <w:ind w:firstLine="0" w:firstLineChars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净资产增长率(≤10分)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CellSpacing w:w="20" w:type="dxa"/>
          <w:jc w:val="center"/>
        </w:trPr>
        <w:tc>
          <w:tcPr>
            <w:tcW w:w="837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24"/>
                <w:szCs w:val="24"/>
              </w:rPr>
              <w:t>2</w:t>
            </w:r>
          </w:p>
        </w:tc>
        <w:tc>
          <w:tcPr>
            <w:tcW w:w="8789" w:type="dxa"/>
            <w:vAlign w:val="center"/>
          </w:tcPr>
          <w:p>
            <w:pPr>
              <w:topLinePunct/>
              <w:spacing w:line="240" w:lineRule="auto"/>
              <w:ind w:firstLine="0" w:firstLineChars="0"/>
              <w:rPr>
                <w:rFonts w:ascii="微软雅黑" w:hAnsi="微软雅黑" w:eastAsia="微软雅黑"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sz w:val="24"/>
                <w:szCs w:val="24"/>
              </w:rPr>
              <w:t>销售收入增长率(≤10分)</w:t>
            </w:r>
          </w:p>
        </w:tc>
        <w:tc>
          <w:tcPr>
            <w:tcW w:w="841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24"/>
                <w:szCs w:val="24"/>
              </w:rPr>
            </w:pPr>
          </w:p>
        </w:tc>
      </w:tr>
      <w:tr>
        <w:tblPrEx>
          <w:tblBorders>
            <w:top w:val="inset" w:color="auto" w:sz="6" w:space="0"/>
            <w:left w:val="inset" w:color="auto" w:sz="6" w:space="0"/>
            <w:bottom w:val="inset" w:color="auto" w:sz="6" w:space="0"/>
            <w:right w:val="inset" w:color="auto" w:sz="6" w:space="0"/>
            <w:insideH w:val="inset" w:color="auto" w:sz="6" w:space="0"/>
            <w:insideV w:val="in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tblCellSpacing w:w="20" w:type="dxa"/>
          <w:jc w:val="center"/>
        </w:trPr>
        <w:tc>
          <w:tcPr>
            <w:tcW w:w="837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微软雅黑" w:hAnsi="微软雅黑" w:eastAsia="微软雅黑"/>
                <w:snapToGrid w:val="0"/>
                <w:spacing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说明</w:t>
            </w:r>
          </w:p>
        </w:tc>
        <w:tc>
          <w:tcPr>
            <w:tcW w:w="9670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ascii="微软雅黑" w:hAnsi="微软雅黑" w:eastAsia="微软雅黑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24"/>
              </w:rPr>
              <w:t>1.增长率计算</w:t>
            </w:r>
            <w:r>
              <w:rPr>
                <w:rFonts w:ascii="微软雅黑" w:hAnsi="微软雅黑" w:eastAsia="微软雅黑"/>
                <w:sz w:val="18"/>
                <w:szCs w:val="24"/>
              </w:rPr>
              <w:t>公式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：增长率＝1/2× (第二年末数÷第一年末数＋第三年末数÷第二年末数）－1</w:t>
            </w:r>
          </w:p>
          <w:p>
            <w:pPr>
              <w:spacing w:line="240" w:lineRule="auto"/>
              <w:ind w:firstLine="184" w:firstLineChars="100"/>
              <w:jc w:val="left"/>
              <w:rPr>
                <w:rFonts w:ascii="微软雅黑" w:hAnsi="微软雅黑" w:eastAsia="微软雅黑"/>
                <w:snapToGrid w:val="0"/>
                <w:spacing w:val="2"/>
                <w:sz w:val="18"/>
                <w:szCs w:val="24"/>
              </w:rPr>
            </w:pP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A.</w:t>
            </w:r>
            <w:r>
              <w:rPr>
                <w:rFonts w:ascii="微软雅黑" w:hAnsi="微软雅黑" w:eastAsia="微软雅黑"/>
                <w:snapToGrid w:val="0"/>
                <w:spacing w:val="2"/>
                <w:sz w:val="18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增长率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≥</w:t>
            </w:r>
            <w:r>
              <w:rPr>
                <w:rFonts w:ascii="微软雅黑" w:hAnsi="微软雅黑" w:eastAsia="微软雅黑"/>
                <w:sz w:val="18"/>
                <w:szCs w:val="24"/>
              </w:rPr>
              <w:t>35%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 xml:space="preserve"> (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9-10分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)</w:t>
            </w:r>
            <w:r>
              <w:rPr>
                <w:rFonts w:ascii="微软雅黑" w:hAnsi="微软雅黑" w:eastAsia="微软雅黑"/>
                <w:snapToGrid w:val="0"/>
                <w:spacing w:val="2"/>
                <w:sz w:val="18"/>
                <w:szCs w:val="24"/>
              </w:rPr>
              <w:t xml:space="preserve">      B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.</w:t>
            </w:r>
            <w:r>
              <w:rPr>
                <w:rFonts w:ascii="微软雅黑" w:hAnsi="微软雅黑" w:eastAsia="微软雅黑"/>
                <w:sz w:val="18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增长率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≥</w:t>
            </w:r>
            <w:r>
              <w:rPr>
                <w:rFonts w:ascii="微软雅黑" w:hAnsi="微软雅黑" w:eastAsia="微软雅黑"/>
                <w:sz w:val="18"/>
                <w:szCs w:val="24"/>
              </w:rPr>
              <w:t>15%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 xml:space="preserve"> (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7-8分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)</w:t>
            </w:r>
            <w:r>
              <w:rPr>
                <w:rFonts w:ascii="微软雅黑" w:hAnsi="微软雅黑" w:eastAsia="微软雅黑"/>
                <w:snapToGrid w:val="0"/>
                <w:spacing w:val="2"/>
                <w:sz w:val="18"/>
                <w:szCs w:val="24"/>
              </w:rPr>
              <w:t xml:space="preserve">      C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.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增长率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≥</w:t>
            </w:r>
            <w:r>
              <w:rPr>
                <w:rFonts w:ascii="微软雅黑" w:hAnsi="微软雅黑" w:eastAsia="微软雅黑"/>
                <w:sz w:val="18"/>
                <w:szCs w:val="24"/>
              </w:rPr>
              <w:t>35%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 xml:space="preserve"> (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5-6分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)</w:t>
            </w:r>
            <w:r>
              <w:rPr>
                <w:rFonts w:ascii="微软雅黑" w:hAnsi="微软雅黑" w:eastAsia="微软雅黑"/>
                <w:snapToGrid w:val="0"/>
                <w:spacing w:val="2"/>
                <w:sz w:val="18"/>
                <w:szCs w:val="24"/>
              </w:rPr>
              <w:t xml:space="preserve"> </w:t>
            </w:r>
          </w:p>
          <w:p>
            <w:pPr>
              <w:spacing w:line="240" w:lineRule="auto"/>
              <w:ind w:firstLine="184" w:firstLineChars="100"/>
              <w:jc w:val="left"/>
              <w:rPr>
                <w:rFonts w:ascii="微软雅黑" w:hAnsi="微软雅黑" w:eastAsia="微软雅黑"/>
                <w:sz w:val="18"/>
                <w:szCs w:val="24"/>
              </w:rPr>
            </w:pPr>
            <w:r>
              <w:rPr>
                <w:rFonts w:ascii="微软雅黑" w:hAnsi="微软雅黑" w:eastAsia="微软雅黑"/>
                <w:snapToGrid w:val="0"/>
                <w:spacing w:val="2"/>
                <w:sz w:val="18"/>
                <w:szCs w:val="24"/>
              </w:rPr>
              <w:t>D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.</w:t>
            </w:r>
            <w:r>
              <w:rPr>
                <w:rFonts w:ascii="微软雅黑" w:hAnsi="微软雅黑" w:eastAsia="微软雅黑"/>
                <w:sz w:val="18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增长率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≥</w:t>
            </w:r>
            <w:r>
              <w:rPr>
                <w:rFonts w:ascii="微软雅黑" w:hAnsi="微软雅黑" w:eastAsia="微软雅黑"/>
                <w:sz w:val="18"/>
                <w:szCs w:val="24"/>
              </w:rPr>
              <w:t>35%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 xml:space="preserve"> (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3-4分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)</w:t>
            </w:r>
            <w:r>
              <w:rPr>
                <w:rFonts w:ascii="微软雅黑" w:hAnsi="微软雅黑" w:eastAsia="微软雅黑"/>
                <w:snapToGrid w:val="0"/>
                <w:spacing w:val="2"/>
                <w:sz w:val="18"/>
                <w:szCs w:val="24"/>
              </w:rPr>
              <w:t xml:space="preserve">       E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.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增长率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≥</w:t>
            </w:r>
            <w:r>
              <w:rPr>
                <w:rFonts w:ascii="微软雅黑" w:hAnsi="微软雅黑" w:eastAsia="微软雅黑"/>
                <w:sz w:val="18"/>
                <w:szCs w:val="24"/>
              </w:rPr>
              <w:t>35%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 xml:space="preserve"> (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1-2分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)</w:t>
            </w:r>
            <w:r>
              <w:rPr>
                <w:rFonts w:ascii="微软雅黑" w:hAnsi="微软雅黑" w:eastAsia="微软雅黑"/>
                <w:snapToGrid w:val="0"/>
                <w:spacing w:val="2"/>
                <w:sz w:val="18"/>
                <w:szCs w:val="24"/>
              </w:rPr>
              <w:t xml:space="preserve">      F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. 增长率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≥</w:t>
            </w:r>
            <w:r>
              <w:rPr>
                <w:rFonts w:ascii="微软雅黑" w:hAnsi="微软雅黑" w:eastAsia="微软雅黑"/>
                <w:sz w:val="18"/>
                <w:szCs w:val="24"/>
              </w:rPr>
              <w:t>35%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 xml:space="preserve"> (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0分</w:t>
            </w:r>
            <w:r>
              <w:rPr>
                <w:rFonts w:hint="eastAsia" w:ascii="微软雅黑" w:hAnsi="微软雅黑" w:eastAsia="微软雅黑"/>
                <w:snapToGrid w:val="0"/>
                <w:spacing w:val="2"/>
                <w:sz w:val="18"/>
                <w:szCs w:val="24"/>
              </w:rPr>
              <w:t>)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ascii="微软雅黑" w:hAnsi="微软雅黑" w:eastAsia="微软雅黑"/>
                <w:sz w:val="18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24"/>
              </w:rPr>
              <w:t>2.</w:t>
            </w:r>
            <w:r>
              <w:rPr>
                <w:rFonts w:hint="eastAsia" w:ascii="微软雅黑" w:hAnsi="微软雅黑" w:eastAsia="微软雅黑"/>
                <w:sz w:val="18"/>
                <w:szCs w:val="24"/>
              </w:rPr>
              <w:t>企业实际经营期不满三年的按实际经营时间计算。</w:t>
            </w:r>
          </w:p>
        </w:tc>
      </w:tr>
    </w:tbl>
    <w:p>
      <w:pPr>
        <w:spacing w:line="240" w:lineRule="auto"/>
        <w:ind w:firstLine="480"/>
        <w:rPr>
          <w:rFonts w:ascii="微软雅黑" w:hAnsi="微软雅黑" w:eastAsia="微软雅黑"/>
          <w:sz w:val="24"/>
          <w:szCs w:val="24"/>
        </w:rPr>
      </w:pPr>
    </w:p>
    <w:p>
      <w:pPr>
        <w:wordWrap w:val="0"/>
        <w:spacing w:line="240" w:lineRule="auto"/>
        <w:ind w:firstLine="560"/>
        <w:jc w:val="right"/>
        <w:rPr>
          <w:rFonts w:ascii="微软雅黑" w:hAnsi="微软雅黑" w:eastAsia="微软雅黑"/>
          <w:b/>
          <w:sz w:val="28"/>
          <w:szCs w:val="24"/>
        </w:rPr>
      </w:pPr>
      <w:r>
        <w:rPr>
          <w:rFonts w:hint="eastAsia" w:ascii="微软雅黑" w:hAnsi="微软雅黑" w:eastAsia="微软雅黑"/>
          <w:b/>
          <w:sz w:val="28"/>
          <w:szCs w:val="24"/>
        </w:rPr>
        <w:t>创新</w:t>
      </w:r>
      <w:r>
        <w:rPr>
          <w:rFonts w:ascii="微软雅黑" w:hAnsi="微软雅黑" w:eastAsia="微软雅黑"/>
          <w:b/>
          <w:sz w:val="28"/>
          <w:szCs w:val="24"/>
        </w:rPr>
        <w:t>能力测评</w:t>
      </w:r>
      <w:r>
        <w:rPr>
          <w:rFonts w:hint="eastAsia" w:ascii="微软雅黑" w:hAnsi="微软雅黑" w:eastAsia="微软雅黑"/>
          <w:b/>
          <w:sz w:val="28"/>
          <w:szCs w:val="24"/>
        </w:rPr>
        <w:t xml:space="preserve">总分： </w:t>
      </w:r>
      <w:r>
        <w:rPr>
          <w:rFonts w:ascii="微软雅黑" w:hAnsi="微软雅黑" w:eastAsia="微软雅黑"/>
          <w:b/>
          <w:sz w:val="28"/>
          <w:szCs w:val="24"/>
        </w:rPr>
        <w:t xml:space="preserve">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0" w:firstLineChars="0"/>
      <w:jc w:val="right"/>
      <w:rPr>
        <w:rFonts w:ascii="微软雅黑" w:hAnsi="微软雅黑" w:eastAsia="微软雅黑"/>
        <w:b/>
        <w:sz w:val="20"/>
      </w:rPr>
    </w:pPr>
    <w:r>
      <w:rPr>
        <w:rFonts w:hint="eastAsia" w:ascii="微软雅黑" w:hAnsi="微软雅黑" w:eastAsia="微软雅黑"/>
        <w:b/>
        <w:sz w:val="20"/>
      </w:rPr>
      <w:t>【内部</w:t>
    </w:r>
    <w:r>
      <w:rPr>
        <w:rFonts w:ascii="微软雅黑" w:hAnsi="微软雅黑" w:eastAsia="微软雅黑"/>
        <w:b/>
        <w:sz w:val="20"/>
      </w:rPr>
      <w:t>资料，勿</w:t>
    </w:r>
    <w:r>
      <w:rPr>
        <w:rFonts w:hint="eastAsia" w:ascii="微软雅黑" w:hAnsi="微软雅黑" w:eastAsia="微软雅黑"/>
        <w:b/>
        <w:sz w:val="20"/>
      </w:rPr>
      <w:t>传播】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firstLine="0" w:firstLineChars="0"/>
      <w:jc w:val="right"/>
      <w:rPr>
        <w:rFonts w:ascii="微软雅黑" w:hAnsi="微软雅黑" w:eastAsia="微软雅黑"/>
        <w:b/>
      </w:rPr>
    </w:pPr>
    <w:r>
      <w:rPr>
        <w:rFonts w:hint="eastAsia" w:ascii="微软雅黑" w:hAnsi="微软雅黑" w:eastAsia="微软雅黑"/>
        <w:b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12065</wp:posOffset>
          </wp:positionV>
          <wp:extent cx="1314450" cy="342900"/>
          <wp:effectExtent l="0" t="0" r="0" b="0"/>
          <wp:wrapNone/>
          <wp:docPr id="1" name="图片 1" descr="D:\王珊珊\2.行政人事\logo\集团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\王珊珊\2.行政人事\logo\集团logo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1426" cy="344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微软雅黑" w:hAnsi="微软雅黑" w:eastAsia="微软雅黑"/>
        <w:b/>
      </w:rPr>
      <w:t>高新认定政府项目十年放心品牌</w:t>
    </w:r>
  </w:p>
  <w:p>
    <w:pPr>
      <w:pStyle w:val="3"/>
      <w:ind w:firstLine="0" w:firstLineChars="0"/>
      <w:jc w:val="right"/>
      <w:rPr>
        <w:rFonts w:ascii="微软雅黑" w:hAnsi="微软雅黑" w:eastAsia="微软雅黑"/>
      </w:rPr>
    </w:pPr>
    <w:r>
      <w:rPr>
        <w:rFonts w:hint="eastAsia" w:ascii="微软雅黑" w:hAnsi="微软雅黑" w:eastAsia="微软雅黑"/>
      </w:rPr>
      <w:t xml:space="preserve"> 联系</w:t>
    </w:r>
    <w:r>
      <w:rPr>
        <w:rFonts w:ascii="微软雅黑" w:hAnsi="微软雅黑" w:eastAsia="微软雅黑"/>
      </w:rPr>
      <w:t>方式：</w:t>
    </w:r>
    <w:r>
      <w:rPr>
        <w:rFonts w:hint="eastAsia" w:ascii="微软雅黑" w:hAnsi="微软雅黑" w:eastAsia="微软雅黑"/>
      </w:rPr>
      <w:t>400-678-3177</w:t>
    </w:r>
    <w:r>
      <w:rPr>
        <w:rFonts w:ascii="微软雅黑" w:hAnsi="微软雅黑" w:eastAsia="微软雅黑"/>
      </w:rPr>
      <w:t xml:space="preserve"> </w:t>
    </w:r>
    <w:r>
      <w:rPr>
        <w:rFonts w:hint="eastAsia" w:ascii="微软雅黑" w:hAnsi="微软雅黑" w:eastAsia="微软雅黑"/>
      </w:rPr>
      <w:t>北京市朝阳区慧忠里路103号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japaneseCounting"/>
      <w:pStyle w:val="7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AF"/>
    <w:rsid w:val="00007B42"/>
    <w:rsid w:val="00044C47"/>
    <w:rsid w:val="000D70B2"/>
    <w:rsid w:val="001312D7"/>
    <w:rsid w:val="00176E71"/>
    <w:rsid w:val="001C6E76"/>
    <w:rsid w:val="002100A6"/>
    <w:rsid w:val="00211F45"/>
    <w:rsid w:val="002152DC"/>
    <w:rsid w:val="002234C1"/>
    <w:rsid w:val="002306FF"/>
    <w:rsid w:val="00235CE2"/>
    <w:rsid w:val="00237E7D"/>
    <w:rsid w:val="00275ADC"/>
    <w:rsid w:val="00295736"/>
    <w:rsid w:val="002B567A"/>
    <w:rsid w:val="002F08E0"/>
    <w:rsid w:val="0030433D"/>
    <w:rsid w:val="0034520F"/>
    <w:rsid w:val="004022B1"/>
    <w:rsid w:val="00433E01"/>
    <w:rsid w:val="004C547F"/>
    <w:rsid w:val="0050285C"/>
    <w:rsid w:val="00506CE4"/>
    <w:rsid w:val="005D2746"/>
    <w:rsid w:val="006315EE"/>
    <w:rsid w:val="006E4D84"/>
    <w:rsid w:val="00795E48"/>
    <w:rsid w:val="007D4F0A"/>
    <w:rsid w:val="0089296D"/>
    <w:rsid w:val="00957929"/>
    <w:rsid w:val="00996309"/>
    <w:rsid w:val="009A43A2"/>
    <w:rsid w:val="00A15AAF"/>
    <w:rsid w:val="00AB1F7F"/>
    <w:rsid w:val="00AC39AC"/>
    <w:rsid w:val="00B15BA7"/>
    <w:rsid w:val="00B2249F"/>
    <w:rsid w:val="00B355EB"/>
    <w:rsid w:val="00B63A09"/>
    <w:rsid w:val="00B75B8C"/>
    <w:rsid w:val="00B83696"/>
    <w:rsid w:val="00BD1BBD"/>
    <w:rsid w:val="00CC7AF3"/>
    <w:rsid w:val="00D80B6C"/>
    <w:rsid w:val="00E067BF"/>
    <w:rsid w:val="00E06E11"/>
    <w:rsid w:val="00E10956"/>
    <w:rsid w:val="00E234E1"/>
    <w:rsid w:val="00E56799"/>
    <w:rsid w:val="00E9595F"/>
    <w:rsid w:val="00EB79C2"/>
    <w:rsid w:val="00F45B47"/>
    <w:rsid w:val="00F5795A"/>
    <w:rsid w:val="00FB268A"/>
    <w:rsid w:val="00FB69F4"/>
    <w:rsid w:val="00FE16AE"/>
    <w:rsid w:val="131E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har Char1"/>
    <w:basedOn w:val="1"/>
    <w:uiPriority w:val="0"/>
    <w:pPr>
      <w:numPr>
        <w:ilvl w:val="0"/>
        <w:numId w:val="1"/>
      </w:numPr>
    </w:pPr>
  </w:style>
  <w:style w:type="paragraph" w:styleId="8">
    <w:name w:val="List Paragraph"/>
    <w:basedOn w:val="1"/>
    <w:qFormat/>
    <w:uiPriority w:val="34"/>
    <w:pPr>
      <w:ind w:firstLine="420"/>
    </w:pPr>
  </w:style>
  <w:style w:type="character" w:customStyle="1" w:styleId="9">
    <w:name w:val="页眉 Char"/>
    <w:basedOn w:val="4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8624A4-035E-4CAB-A19E-63B147F228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199</Words>
  <Characters>1136</Characters>
  <Lines>9</Lines>
  <Paragraphs>2</Paragraphs>
  <TotalTime>23</TotalTime>
  <ScaleCrop>false</ScaleCrop>
  <LinksUpToDate>false</LinksUpToDate>
  <CharactersWithSpaces>1333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2018-05-17T06:24:00Z</dcterms:created>
  <dc:creator>王珊珊</dc:creator>
  <cp:lastModifiedBy>孤心寒阳</cp:lastModifiedBy>
  <dcterms:modified xsi:type="dcterms:W3CDTF">2018-08-10T07:16:57Z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